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E63E9" w14:textId="5E613A52" w:rsidR="00E974B5" w:rsidRPr="00C21484" w:rsidRDefault="00E974B5" w:rsidP="00E974B5">
      <w:pPr>
        <w:jc w:val="center"/>
        <w:rPr>
          <w:b/>
          <w:bCs/>
        </w:rPr>
      </w:pPr>
      <w:r w:rsidRPr="00C21484">
        <w:rPr>
          <w:b/>
          <w:bCs/>
        </w:rPr>
        <w:t>IDEACUBE PROGRAMI KABUL TAAH</w:t>
      </w:r>
      <w:r w:rsidR="007F069D">
        <w:rPr>
          <w:b/>
          <w:bCs/>
        </w:rPr>
        <w:t>H</w:t>
      </w:r>
      <w:r w:rsidRPr="00C21484">
        <w:rPr>
          <w:b/>
          <w:bCs/>
        </w:rPr>
        <w:t>ÜTNAMESİ</w:t>
      </w:r>
    </w:p>
    <w:p w14:paraId="2DA1CD5A" w14:textId="77777777" w:rsidR="00E974B5" w:rsidRPr="00C21484" w:rsidRDefault="00E974B5" w:rsidP="00E974B5">
      <w:pPr>
        <w:jc w:val="both"/>
      </w:pPr>
    </w:p>
    <w:p w14:paraId="0D8A65A6" w14:textId="709B9976" w:rsidR="00E974B5" w:rsidRPr="00C21484" w:rsidRDefault="00E974B5" w:rsidP="00C21484">
      <w:pPr>
        <w:pStyle w:val="ListeParagraf"/>
        <w:numPr>
          <w:ilvl w:val="0"/>
          <w:numId w:val="1"/>
        </w:numPr>
        <w:ind w:left="426" w:hanging="426"/>
        <w:jc w:val="both"/>
        <w:rPr>
          <w:b/>
          <w:bCs/>
        </w:rPr>
      </w:pPr>
      <w:r w:rsidRPr="00C21484">
        <w:rPr>
          <w:b/>
          <w:bCs/>
        </w:rPr>
        <w:t xml:space="preserve">AMAÇ VE KONU </w:t>
      </w:r>
    </w:p>
    <w:p w14:paraId="0C04CDA7" w14:textId="0C39C637" w:rsidR="000402DB" w:rsidRPr="00C21484" w:rsidRDefault="000402DB" w:rsidP="00C21484">
      <w:pPr>
        <w:ind w:left="426"/>
        <w:jc w:val="both"/>
      </w:pPr>
      <w:r w:rsidRPr="00C21484">
        <w:t xml:space="preserve">İşbu Taahhütname, Teknopark İstanbul </w:t>
      </w:r>
      <w:r w:rsidR="00E974B5" w:rsidRPr="00C21484">
        <w:t xml:space="preserve">A.Ş. bünyesinde </w:t>
      </w:r>
      <w:r w:rsidRPr="00C21484">
        <w:t>Cube Incubation’un yürütmekte olduğu</w:t>
      </w:r>
      <w:r w:rsidR="00E974B5" w:rsidRPr="00C21484">
        <w:t xml:space="preserve"> Ideacube</w:t>
      </w:r>
      <w:r w:rsidRPr="00C21484">
        <w:t xml:space="preserve"> programına başvurarak, dijital </w:t>
      </w:r>
      <w:r w:rsidR="00E974B5" w:rsidRPr="00C21484">
        <w:t xml:space="preserve">hızlandırma, eğitim, </w:t>
      </w:r>
      <w:r w:rsidRPr="00C21484">
        <w:t>danışmanlık</w:t>
      </w:r>
      <w:r w:rsidR="00E974B5" w:rsidRPr="00C21484">
        <w:t xml:space="preserve"> ve </w:t>
      </w:r>
      <w:r w:rsidRPr="00C21484">
        <w:t>mentorluk modüllerinin olanaklarından yararlanacak girişimci gruplarının ve bu grubu oluşturan tüm üyelerin uymaları gereken kuralları tam ve eksiksiz olarak bil</w:t>
      </w:r>
      <w:r w:rsidR="00E974B5" w:rsidRPr="00C21484">
        <w:t xml:space="preserve">melerini </w:t>
      </w:r>
      <w:r w:rsidRPr="00C21484">
        <w:t>ve işbu Taahhütname metninde ifade edilen tüm hüküm ve şartları kabul</w:t>
      </w:r>
      <w:r w:rsidR="00E974B5" w:rsidRPr="00C21484">
        <w:t>, beyan ve taahhüt etmelerin</w:t>
      </w:r>
      <w:r w:rsidR="007F069D">
        <w:t>i</w:t>
      </w:r>
      <w:r w:rsidR="00E974B5" w:rsidRPr="00C21484">
        <w:t xml:space="preserve"> temin için hazırlanmıştır.</w:t>
      </w:r>
    </w:p>
    <w:p w14:paraId="72F92799" w14:textId="161BA1C7" w:rsidR="00E974B5" w:rsidRPr="00C21484" w:rsidRDefault="00CE69F7" w:rsidP="00C21484">
      <w:pPr>
        <w:pStyle w:val="ListeParagraf"/>
        <w:numPr>
          <w:ilvl w:val="0"/>
          <w:numId w:val="1"/>
        </w:numPr>
        <w:ind w:left="426" w:hanging="426"/>
        <w:jc w:val="both"/>
        <w:rPr>
          <w:b/>
          <w:bCs/>
        </w:rPr>
      </w:pPr>
      <w:r w:rsidRPr="00C21484">
        <w:rPr>
          <w:b/>
          <w:bCs/>
        </w:rPr>
        <w:t xml:space="preserve">BAŞVURUCUNUN UYMASI GEREKEN YÜKÜMLÜLÜKLER </w:t>
      </w:r>
    </w:p>
    <w:p w14:paraId="4CD1F32C" w14:textId="1F75DE7C" w:rsidR="003F75AC" w:rsidRPr="00C21484" w:rsidRDefault="00E974B5" w:rsidP="00C21484">
      <w:pPr>
        <w:pStyle w:val="ListeParagraf"/>
        <w:numPr>
          <w:ilvl w:val="1"/>
          <w:numId w:val="1"/>
        </w:numPr>
        <w:ind w:left="426" w:hanging="426"/>
        <w:jc w:val="both"/>
      </w:pPr>
      <w:r w:rsidRPr="00C21484">
        <w:t xml:space="preserve">Başvurucu </w:t>
      </w:r>
      <w:r w:rsidR="003F75AC" w:rsidRPr="00C21484">
        <w:t xml:space="preserve">Teknopark İstanbul A.Ş. tarafından </w:t>
      </w:r>
      <w:r w:rsidRPr="00C21484">
        <w:t xml:space="preserve">ilan edilen usul ve şartlara uygun bir şekilde müracaatını gerçekleştirecektir. </w:t>
      </w:r>
      <w:r w:rsidR="00390535" w:rsidRPr="00C21484">
        <w:t>Müracaat esnasında verilen bilgi ve belgelerin güncellenmesi durumunda Başvurucu</w:t>
      </w:r>
      <w:r w:rsidR="00C30BDF" w:rsidRPr="00C21484">
        <w:t>,</w:t>
      </w:r>
      <w:r w:rsidR="00390535" w:rsidRPr="00C21484">
        <w:t xml:space="preserve"> yeni bilgi ve belgeleri derhal Teknopark İstanbul A.Ş.’ye sunmak zorundadır. Ayrıca Başvurucu Teknopark İstanbul A.Ş.</w:t>
      </w:r>
      <w:r w:rsidR="00402FA6">
        <w:t>’</w:t>
      </w:r>
      <w:r w:rsidR="00390535" w:rsidRPr="00C21484">
        <w:t>nin proje süresince talep ettiği her türlü bilgi ve belgeyi kendisine verilen süre içerisinde ve usulüne uygun olarak ibraz etmekle yükümlüdür.</w:t>
      </w:r>
    </w:p>
    <w:p w14:paraId="072253AD" w14:textId="5A29F391" w:rsidR="0041445E" w:rsidRPr="00C21484" w:rsidRDefault="0041445E" w:rsidP="00C21484">
      <w:pPr>
        <w:pStyle w:val="ListeParagraf"/>
        <w:numPr>
          <w:ilvl w:val="1"/>
          <w:numId w:val="1"/>
        </w:numPr>
        <w:ind w:left="426" w:hanging="426"/>
        <w:jc w:val="both"/>
      </w:pPr>
      <w:r w:rsidRPr="00C21484">
        <w:t>Başvurucu, her türlü kanun, yönetmelik, tebliğ, genelge ve benzeri tüm yasal düzenlemelere ve yönergelere uymakla yükümlü olduğunu kabul ve taahhüt etmektedir.</w:t>
      </w:r>
    </w:p>
    <w:p w14:paraId="74FDD24E" w14:textId="76ED3A68" w:rsidR="003F75AC" w:rsidRPr="00C21484" w:rsidRDefault="003F75AC" w:rsidP="00C21484">
      <w:pPr>
        <w:pStyle w:val="ListeParagraf"/>
        <w:numPr>
          <w:ilvl w:val="1"/>
          <w:numId w:val="1"/>
        </w:numPr>
        <w:ind w:left="426" w:hanging="426"/>
        <w:jc w:val="both"/>
      </w:pPr>
      <w:r w:rsidRPr="00C21484">
        <w:t>Başvurucu müracaat için ibraz etmiş olduğu tüm bilgi ve belgelerin doğru ve gerçek olduğunu,</w:t>
      </w:r>
      <w:r w:rsidR="00CE69F7" w:rsidRPr="00C21484">
        <w:t xml:space="preserve"> proje boyunca Teknopark İstanbul A.Ş.’nin tüm </w:t>
      </w:r>
      <w:r w:rsidR="00390535" w:rsidRPr="00C21484">
        <w:t xml:space="preserve">sözlü-yazılı </w:t>
      </w:r>
      <w:r w:rsidR="00CE69F7" w:rsidRPr="00C21484">
        <w:t>talimatlarına uygun hareket edeceğini</w:t>
      </w:r>
      <w:r w:rsidRPr="00C21484">
        <w:t xml:space="preserve"> aksi halde verilen eğitim</w:t>
      </w:r>
      <w:r w:rsidR="00CE69F7" w:rsidRPr="00C21484">
        <w:t>-</w:t>
      </w:r>
      <w:r w:rsidRPr="00C21484">
        <w:t xml:space="preserve">hizmet bedellerinin ve oluşacak tüm zararların kendisinden tahsil </w:t>
      </w:r>
      <w:r w:rsidR="00CE69F7" w:rsidRPr="00C21484">
        <w:t xml:space="preserve">edilmesi ve tahsis edilen tüm araç-gerecin derhal iadesi </w:t>
      </w:r>
      <w:r w:rsidR="00402FA6" w:rsidRPr="00402FA6">
        <w:t>dâhil</w:t>
      </w:r>
      <w:r w:rsidRPr="00C21484">
        <w:t xml:space="preserve"> olmak üzere ilgili eylemin T</w:t>
      </w:r>
      <w:r w:rsidR="00035A36">
        <w:t xml:space="preserve">ürk </w:t>
      </w:r>
      <w:r w:rsidRPr="00C21484">
        <w:t>C</w:t>
      </w:r>
      <w:r w:rsidR="00035A36">
        <w:t xml:space="preserve">eza </w:t>
      </w:r>
      <w:r w:rsidRPr="00C21484">
        <w:t>K</w:t>
      </w:r>
      <w:r w:rsidR="00035A36">
        <w:t>anunu</w:t>
      </w:r>
      <w:r w:rsidRPr="00C21484">
        <w:t xml:space="preserve"> ve ilgili mevzuat bakımından her türlü hukuki</w:t>
      </w:r>
      <w:r w:rsidR="00402FA6">
        <w:t xml:space="preserve"> ve</w:t>
      </w:r>
      <w:r w:rsidRPr="00C21484">
        <w:t xml:space="preserve"> cezai </w:t>
      </w:r>
      <w:r w:rsidR="00402FA6">
        <w:t>kovuşturmaya</w:t>
      </w:r>
      <w:r w:rsidR="00402FA6" w:rsidRPr="00C21484">
        <w:t xml:space="preserve"> </w:t>
      </w:r>
      <w:r w:rsidRPr="00C21484">
        <w:t xml:space="preserve">konu olabileceğini bilmekte ve sonuçlarını peşinen kabul ve taahhüt etmektedir. </w:t>
      </w:r>
    </w:p>
    <w:p w14:paraId="6C697342" w14:textId="5868697A" w:rsidR="003F75AC" w:rsidRPr="00C21484" w:rsidRDefault="003F75AC" w:rsidP="00C21484">
      <w:pPr>
        <w:pStyle w:val="ListeParagraf"/>
        <w:numPr>
          <w:ilvl w:val="1"/>
          <w:numId w:val="1"/>
        </w:numPr>
        <w:ind w:left="426" w:hanging="426"/>
        <w:jc w:val="both"/>
      </w:pPr>
      <w:r w:rsidRPr="00C21484">
        <w:t>Başvurucu iş fikri esaslı bir programa müracaat etmesi sebebiyle fikrinin özgün ve şahsi olması gerektiğinin bilincindedir. Bu nedenle Başvurucu’nun kendisine ait olduğu</w:t>
      </w:r>
      <w:r w:rsidR="00402FA6">
        <w:t>nu</w:t>
      </w:r>
      <w:r w:rsidRPr="00C21484">
        <w:t xml:space="preserve"> beyan ettiği fikrin</w:t>
      </w:r>
      <w:r w:rsidR="00CE69F7" w:rsidRPr="00C21484">
        <w:t xml:space="preserve"> öncelikle yasalara uygun olduğunu;</w:t>
      </w:r>
      <w:r w:rsidRPr="00C21484">
        <w:t xml:space="preserve"> patent, telif, faydalı model gibi fikri </w:t>
      </w:r>
      <w:r w:rsidR="00CE69F7" w:rsidRPr="00C21484">
        <w:t xml:space="preserve">ve sınai </w:t>
      </w:r>
      <w:r w:rsidRPr="00C21484">
        <w:t>haklar planında gerekli araştırma sonrasında özgünlüğünü kabul, beyan ve taahhüt ettiği varsayılmaktadır. Aksi halde</w:t>
      </w:r>
      <w:r w:rsidR="00402FA6">
        <w:t>, Başvurucu</w:t>
      </w:r>
      <w:r w:rsidRPr="00C21484">
        <w:t xml:space="preserve"> </w:t>
      </w:r>
      <w:r w:rsidR="00CE69F7" w:rsidRPr="00C21484">
        <w:t xml:space="preserve">mülkiyet iddiasına dayalı hukuki ve cezai yaptırımlardan </w:t>
      </w:r>
      <w:bookmarkStart w:id="0" w:name="_GoBack"/>
      <w:bookmarkEnd w:id="0"/>
      <w:r w:rsidR="00CE69F7" w:rsidRPr="00C21484">
        <w:t>müstakilen sorumlu olduğu</w:t>
      </w:r>
      <w:r w:rsidR="00402FA6">
        <w:t>nu</w:t>
      </w:r>
      <w:r w:rsidR="00CE69F7" w:rsidRPr="00C21484">
        <w:t xml:space="preserve"> ve ortaya çıkabilecek her türlü zarardan Teknopark İstanbul A.Ş.’nin sorumlu tutulamayacağını, Teknopark İstanbul A.Ş.</w:t>
      </w:r>
      <w:r w:rsidR="00402FA6">
        <w:t>’</w:t>
      </w:r>
      <w:r w:rsidR="00CE69F7" w:rsidRPr="00C21484">
        <w:t>nin sorumluluğuna gidilmesi durumunda Başvurucu’ya rücu edileceği</w:t>
      </w:r>
      <w:r w:rsidR="00402FA6">
        <w:t>ni</w:t>
      </w:r>
      <w:r w:rsidR="00CE69F7" w:rsidRPr="00C21484">
        <w:t xml:space="preserve"> peşinen kabul ve taahhüt </w:t>
      </w:r>
      <w:r w:rsidR="00402FA6">
        <w:t>etmektedir</w:t>
      </w:r>
      <w:r w:rsidR="00CE69F7" w:rsidRPr="00C21484">
        <w:t>. Başvurucu işbu sorumluluk kapsamında üçüncü kişiler tarafından kendisine yapılan her türlü bildirimi Teknopark İstanbul A.Ş.’ye derhal yazılı olarak bildirmek zorundadır. İşbu madde kapsamında ifade edilen sorumluluk hali sadece başvuru aşamasında değil projenin tüm aşamalarında hüküm ve geçerlilik ifade eder.</w:t>
      </w:r>
      <w:r w:rsidRPr="00C21484">
        <w:t xml:space="preserve"> </w:t>
      </w:r>
    </w:p>
    <w:p w14:paraId="73EA30DF" w14:textId="3E2C4AB2" w:rsidR="00390535" w:rsidRPr="00C21484" w:rsidRDefault="00390535" w:rsidP="00C21484">
      <w:pPr>
        <w:pStyle w:val="ListeParagraf"/>
        <w:numPr>
          <w:ilvl w:val="1"/>
          <w:numId w:val="1"/>
        </w:numPr>
        <w:ind w:left="426" w:hanging="426"/>
        <w:jc w:val="both"/>
      </w:pPr>
      <w:r w:rsidRPr="00C21484">
        <w:t xml:space="preserve">Başvurucu; projeyi başarıyla sürdürmek konusunda gereken özeni göstermeyi, ekosisteme zarar verebilecek her türlü davranıştan kaçınmayı, işinin gerektirdiği basiret ve titizlikle faaliyetlerini sürdürmeyi, zarara neden olabilecek herhangi bir davranış sebebiyle oluşabilecek her türlü zararı tazmin etmeyi kabul, beyan ve taahhüt etmektedir. </w:t>
      </w:r>
    </w:p>
    <w:p w14:paraId="45D2E6A6" w14:textId="7D472918" w:rsidR="006B571B" w:rsidRPr="005E0E49" w:rsidRDefault="00390535" w:rsidP="00C21484">
      <w:pPr>
        <w:pStyle w:val="ListeParagraf"/>
        <w:numPr>
          <w:ilvl w:val="1"/>
          <w:numId w:val="1"/>
        </w:numPr>
        <w:ind w:left="426" w:hanging="426"/>
        <w:jc w:val="both"/>
      </w:pPr>
      <w:r w:rsidRPr="00C21484">
        <w:t xml:space="preserve">Program süresince Başvurucu, kendisine sunulan </w:t>
      </w:r>
      <w:r w:rsidR="006B571B" w:rsidRPr="00C21484">
        <w:t>imkân</w:t>
      </w:r>
      <w:r w:rsidRPr="00C21484">
        <w:t xml:space="preserve"> ve hizmetlerden verimli bir şekilde istifade etmek,</w:t>
      </w:r>
      <w:r w:rsidR="006B571B" w:rsidRPr="00C21484">
        <w:t xml:space="preserve"> eğitimlere %100</w:t>
      </w:r>
      <w:r w:rsidRPr="00C21484">
        <w:t xml:space="preserve"> </w:t>
      </w:r>
      <w:r w:rsidR="00035A36">
        <w:t>katılmak</w:t>
      </w:r>
      <w:r w:rsidRPr="00C21484">
        <w:t xml:space="preserve"> ve programın amacına uygun bir hareket tarzını benimsemekle yükümlüdür. </w:t>
      </w:r>
      <w:r w:rsidR="006B571B" w:rsidRPr="00C21484">
        <w:t>Proje aynı zamanda iyi niyete dayalı bir iş birliğini ifade ettiğinden projenin etkinlik ve verimliliği konusunda Başvurucu her zaman Teknopark İstanbul A.Ş.</w:t>
      </w:r>
      <w:r w:rsidR="00035A36" w:rsidRPr="00C21484">
        <w:t>’y</w:t>
      </w:r>
      <w:r w:rsidR="00035A36">
        <w:t>i</w:t>
      </w:r>
      <w:r w:rsidR="00035A36" w:rsidRPr="005E0E49">
        <w:t xml:space="preserve"> </w:t>
      </w:r>
      <w:r w:rsidR="006B571B" w:rsidRPr="005E0E49">
        <w:t xml:space="preserve">bilgilendirmek, eksiklikler konusunda öneriler getirmekle yükümlüdür. </w:t>
      </w:r>
    </w:p>
    <w:p w14:paraId="3C979567" w14:textId="559A5A15" w:rsidR="0041445E" w:rsidRPr="005E0E49" w:rsidRDefault="006B571B" w:rsidP="00C21484">
      <w:pPr>
        <w:pStyle w:val="ListeParagraf"/>
        <w:numPr>
          <w:ilvl w:val="1"/>
          <w:numId w:val="1"/>
        </w:numPr>
        <w:ind w:left="426" w:hanging="426"/>
        <w:jc w:val="both"/>
      </w:pPr>
      <w:r w:rsidRPr="005E0E49">
        <w:t xml:space="preserve">Başvurucu, </w:t>
      </w:r>
      <w:r w:rsidR="000402DB" w:rsidRPr="005E0E49">
        <w:t>Programın tüm aşamalarında proje</w:t>
      </w:r>
      <w:r w:rsidRPr="005E0E49">
        <w:t>yle</w:t>
      </w:r>
      <w:r w:rsidR="000402DB" w:rsidRPr="005E0E49">
        <w:t xml:space="preserve"> ilgili olarak </w:t>
      </w:r>
      <w:r w:rsidRPr="005E0E49">
        <w:t xml:space="preserve">ve </w:t>
      </w:r>
      <w:r w:rsidR="000402DB" w:rsidRPr="005E0E49">
        <w:t xml:space="preserve">bunlarla sınırlı olmaksızın her türlü tanıtım, ticarileştirme faaliyetleri kapsamında Teknopark İstanbul </w:t>
      </w:r>
      <w:r w:rsidRPr="005E0E49">
        <w:t xml:space="preserve">A.Ş. </w:t>
      </w:r>
      <w:r w:rsidR="000402DB" w:rsidRPr="005E0E49">
        <w:t>yönetimi tarafından gerçekleştirilecek yazılı, sözlü, görsel tanıtım, basın, yayın çalışmalarına peşinen muvafakat verdiği</w:t>
      </w:r>
      <w:r w:rsidRPr="005E0E49">
        <w:t>ni</w:t>
      </w:r>
      <w:r w:rsidR="000402DB" w:rsidRPr="005E0E49">
        <w:t>, muvafakat ve</w:t>
      </w:r>
      <w:r w:rsidRPr="005E0E49">
        <w:t>rilmeyen</w:t>
      </w:r>
      <w:r w:rsidR="000402DB" w:rsidRPr="005E0E49">
        <w:t xml:space="preserve"> ticari sır içeren ve açıklanmaması gereken proje içeriğinin ilgili </w:t>
      </w:r>
      <w:r w:rsidR="000402DB" w:rsidRPr="005E0E49">
        <w:lastRenderedPageBreak/>
        <w:t>kısmın</w:t>
      </w:r>
      <w:r w:rsidR="00035A36">
        <w:t>ın</w:t>
      </w:r>
      <w:r w:rsidR="000402DB" w:rsidRPr="005E0E49">
        <w:t xml:space="preserve"> gizli kalması konusunda mutabık kal</w:t>
      </w:r>
      <w:r w:rsidRPr="005E0E49">
        <w:t>ındığını</w:t>
      </w:r>
      <w:r w:rsidR="000402DB" w:rsidRPr="005E0E49">
        <w:t>, herhangi bir yazılı bildirim yap</w:t>
      </w:r>
      <w:r w:rsidRPr="005E0E49">
        <w:t>ılmadığı</w:t>
      </w:r>
      <w:r w:rsidR="000402DB" w:rsidRPr="005E0E49">
        <w:t xml:space="preserve"> durumlarda ise, Teknopark İstanbul Yönetimi tarafından yapılacak yazılı, sözlü, görsel tanıtım, basım, yayın çalışmalarına peşinen muvafakat ver</w:t>
      </w:r>
      <w:r w:rsidRPr="005E0E49">
        <w:t>ildiğini</w:t>
      </w:r>
      <w:r w:rsidR="000402DB" w:rsidRPr="005E0E49">
        <w:t>, bu konuda herhangi bir itiraz hakkı</w:t>
      </w:r>
      <w:r w:rsidRPr="005E0E49">
        <w:t>nın</w:t>
      </w:r>
      <w:r w:rsidR="000402DB" w:rsidRPr="005E0E49">
        <w:t xml:space="preserve"> olamayacağını bildiği</w:t>
      </w:r>
      <w:r w:rsidRPr="005E0E49">
        <w:t>ni</w:t>
      </w:r>
      <w:r w:rsidR="000402DB" w:rsidRPr="005E0E49">
        <w:t xml:space="preserve"> ve kabul ettiği</w:t>
      </w:r>
      <w:r w:rsidRPr="005E0E49">
        <w:t>ni</w:t>
      </w:r>
      <w:r w:rsidR="000402DB" w:rsidRPr="005E0E49">
        <w:t>,</w:t>
      </w:r>
      <w:r w:rsidRPr="005E0E49">
        <w:t xml:space="preserve"> </w:t>
      </w:r>
      <w:r w:rsidR="000402DB" w:rsidRPr="005E0E49">
        <w:t>peşinen kabul, beyan ve taahhüt e</w:t>
      </w:r>
      <w:r w:rsidRPr="005E0E49">
        <w:t>tmektedir.</w:t>
      </w:r>
    </w:p>
    <w:p w14:paraId="5BD99EDE" w14:textId="6B6D3A74" w:rsidR="0041445E" w:rsidRPr="005E0E49" w:rsidRDefault="0041445E" w:rsidP="00C21484">
      <w:pPr>
        <w:pStyle w:val="ListeParagraf"/>
        <w:numPr>
          <w:ilvl w:val="1"/>
          <w:numId w:val="1"/>
        </w:numPr>
        <w:ind w:left="426" w:hanging="426"/>
        <w:jc w:val="both"/>
      </w:pPr>
      <w:r w:rsidRPr="005E0E49">
        <w:t>Başvurucu, Teknopark İstanbul A</w:t>
      </w:r>
      <w:r w:rsidR="00035A36">
        <w:t>.</w:t>
      </w:r>
      <w:r w:rsidRPr="005E0E49">
        <w:t>Ş</w:t>
      </w:r>
      <w:r w:rsidR="00035A36">
        <w:t>.</w:t>
      </w:r>
      <w:r w:rsidRPr="005E0E49">
        <w:t xml:space="preserve">’ye yahut yerleşke içerisinde faaliyet gösteren 3. Kişi ve kurumlara ait elde edilen her türlü </w:t>
      </w:r>
      <w:r w:rsidR="002C19D0">
        <w:t>bilgi, iş geliş</w:t>
      </w:r>
      <w:r w:rsidRPr="005E0E49">
        <w:t>tirme projesi ile ilgili fikir, proje, buluş̧, iş, metot, ilerleme ve patent, telif hakkı, log kayıtları,</w:t>
      </w:r>
      <w:r w:rsidR="002C19D0">
        <w:t xml:space="preserve"> kiş</w:t>
      </w:r>
      <w:r w:rsidRPr="005E0E49">
        <w:t xml:space="preserve">isel veriler, marka, ticari sır ya da diğer yasal korunmaya konu olan ya da olmayan her türlü yenilik ve çalışma esnasında öğrenilecek yazılı veya sözlü̈ tüm ticari, mali, teknik bilgiler, istihbari ve güvenlik bakımından önem arz eden kamusal bilgiler ve konuşma bilgileri de dahil olmak üzere tüm bu bilgileri gizli bilgi olarak kabul etmekte olup, bu bilgileri sadakatle muhafaza edeceğini ve asla ifşa etmeyeceğini kabul ve taahhüt eder. Başvurucu, </w:t>
      </w:r>
      <w:r w:rsidR="00035A36">
        <w:t>i</w:t>
      </w:r>
      <w:r w:rsidR="00035A36" w:rsidRPr="005E0E49">
        <w:t xml:space="preserve">şbu </w:t>
      </w:r>
      <w:r w:rsidRPr="005E0E49">
        <w:t>bilgileri hem K</w:t>
      </w:r>
      <w:r w:rsidR="00035A36">
        <w:t xml:space="preserve">işisel </w:t>
      </w:r>
      <w:r w:rsidRPr="005E0E49">
        <w:t>V</w:t>
      </w:r>
      <w:r w:rsidR="00035A36">
        <w:t xml:space="preserve">erilerin </w:t>
      </w:r>
      <w:r w:rsidRPr="005E0E49">
        <w:t>K</w:t>
      </w:r>
      <w:r w:rsidR="00035A36">
        <w:t xml:space="preserve">orunması </w:t>
      </w:r>
      <w:r w:rsidRPr="005E0E49">
        <w:t>K</w:t>
      </w:r>
      <w:r w:rsidR="00035A36">
        <w:t>anunu</w:t>
      </w:r>
      <w:r w:rsidRPr="005E0E49">
        <w:t xml:space="preserve"> kapsamında hem de 5237 sayılı Türk Ceza Kanunu’nun 330. Maddesinde devletin güvenliği veya iç veya dış siyasal yararları bakımından niteliği itibariyle gizli kalması gereken bilgilerin siyasal veya askeri casusluk maksadıyla açıklanmasına ilişkin mevzuat hükümlerine uygun olarak, devlet sırrı, devlet güvenliği, bekası ve milli menfaatleri doğrultusunda özenle koruyacağını, Teknopark İstanbul A.Ş.’nin itibarı ve prestijini sarsacak davranışlardan kaşınacağını işbu taahhütnamenin ihlali durumunda maruz kalınan her türlü maddi/manevi zararları tazmin etmeyi kabul ve taahhüt etmektedir.  </w:t>
      </w:r>
    </w:p>
    <w:p w14:paraId="054299DF" w14:textId="412D90E6" w:rsidR="002C19D0" w:rsidRDefault="0041445E" w:rsidP="002C19D0">
      <w:pPr>
        <w:pStyle w:val="ListeParagraf"/>
        <w:numPr>
          <w:ilvl w:val="1"/>
          <w:numId w:val="1"/>
        </w:numPr>
        <w:ind w:left="426" w:hanging="426"/>
        <w:jc w:val="both"/>
      </w:pPr>
      <w:r w:rsidRPr="005E0E49">
        <w:t xml:space="preserve">Başvurucu, </w:t>
      </w:r>
      <w:r w:rsidR="000402DB" w:rsidRPr="005E0E49">
        <w:t>6698 sayılı Kişisel Verilerin Korunması Kanunu hükümlerini bildiği</w:t>
      </w:r>
      <w:r w:rsidRPr="005E0E49">
        <w:t>ni</w:t>
      </w:r>
      <w:r w:rsidR="000402DB" w:rsidRPr="005E0E49">
        <w:t xml:space="preserve"> ve kabul ettiği</w:t>
      </w:r>
      <w:r w:rsidRPr="005E0E49">
        <w:t>ni</w:t>
      </w:r>
      <w:r w:rsidR="000402DB" w:rsidRPr="005E0E49">
        <w:t xml:space="preserve">, ilgili mevzuat gereğince Teknopark İstanbul </w:t>
      </w:r>
      <w:r w:rsidRPr="005E0E49">
        <w:t xml:space="preserve">A.Ş. </w:t>
      </w:r>
      <w:r w:rsidR="000402DB" w:rsidRPr="005E0E49">
        <w:t>ile paylaşacağı her türlü kişisel verileri</w:t>
      </w:r>
      <w:r w:rsidRPr="005E0E49">
        <w:t>n</w:t>
      </w:r>
      <w:r w:rsidR="000402DB" w:rsidRPr="005E0E49">
        <w:t xml:space="preserve"> Teknopark İstanbul’un 4691 sayılı Teknoloji </w:t>
      </w:r>
      <w:r w:rsidR="005E0E49">
        <w:t xml:space="preserve">Geliştirme </w:t>
      </w:r>
      <w:r w:rsidR="000402DB" w:rsidRPr="005E0E49">
        <w:t xml:space="preserve">Bölgeleri Kanunu, Teknoloji Bölgeleri Uygulama Yönetmeliği ve Teknopark İstanbul’un tabi olduğu yürürlükteki ilgili başkaca kanun ile işbu taahhütname ve </w:t>
      </w:r>
      <w:r w:rsidRPr="005E0E49">
        <w:t>p</w:t>
      </w:r>
      <w:r w:rsidR="000402DB" w:rsidRPr="005E0E49">
        <w:t>rogram kapsamındaki yükümlülüklerini</w:t>
      </w:r>
      <w:r w:rsidR="005E0E49">
        <w:t>n</w:t>
      </w:r>
      <w:r w:rsidR="000402DB" w:rsidRPr="005E0E49">
        <w:t xml:space="preserve"> yerine getirilmesi amacıyla ve girişimcilik programları başvuru süreçlerinin yürütülmesi, girişimcilik programları değerlendirme süreçlerinin yürütülmesi, iletişim faaliyetlerinin yürütülmesi, ürün / hizmetlerin pazarlama süreçlerinin yürütülmesi, pazarlama analiz çalışmalarının yürütülmesi; reklam, tanıtım, duyuru süreçleri ile girişimcilik programları kapsamında tarafımıza sunulacak danışmanlık, mentorluk ve iş geliştirme hizmetlerinin yürütülmesi ve proje/iş fikrimizin geliştirilmesinin sağlanması amaçlarıyla toplanmasına, kaydedilmesine, işlenmesine, saklanmasına, kullanılmasına, aktarılmasına bu kapsamda aynı amaçlara yönelik olarak Teknopark İstanbul</w:t>
      </w:r>
      <w:r w:rsidRPr="005E0E49">
        <w:t xml:space="preserve"> A.Ş.’nin </w:t>
      </w:r>
      <w:r w:rsidR="000402DB" w:rsidRPr="005E0E49">
        <w:t>yurtiçi ve yurtdışındaki iştirakleri ile ilgili Kurum ve Kuruluşlarla paylaşılması konusunda açık rıza</w:t>
      </w:r>
      <w:r w:rsidRPr="005E0E49">
        <w:t xml:space="preserve">sının olduğunu kabul, beyan ve taahhüt etmektedir. </w:t>
      </w:r>
    </w:p>
    <w:p w14:paraId="54A00BAC" w14:textId="0225E54A" w:rsidR="00A332DE" w:rsidRPr="005E0E49" w:rsidRDefault="0041445E" w:rsidP="002C19D0">
      <w:pPr>
        <w:pStyle w:val="ListeParagraf"/>
        <w:numPr>
          <w:ilvl w:val="1"/>
          <w:numId w:val="1"/>
        </w:numPr>
        <w:tabs>
          <w:tab w:val="left" w:pos="567"/>
        </w:tabs>
        <w:ind w:left="426" w:hanging="426"/>
        <w:jc w:val="both"/>
      </w:pPr>
      <w:r w:rsidRPr="005E0E49">
        <w:t>Başvurucu</w:t>
      </w:r>
      <w:r w:rsidR="00D361D8" w:rsidRPr="005E0E49">
        <w:t>;</w:t>
      </w:r>
      <w:r w:rsidRPr="005E0E49">
        <w:t xml:space="preserve"> yukarıda sayılan hükümler başta olmak üzere ilgili mevzuatın kendisine yüklediği tüm yükümlülükleri gereği gibi yerine getirmek </w:t>
      </w:r>
      <w:r w:rsidR="005E0E49">
        <w:t>zorundadır</w:t>
      </w:r>
      <w:r w:rsidR="00D361D8" w:rsidRPr="005E0E49">
        <w:t>, a</w:t>
      </w:r>
      <w:r w:rsidRPr="005E0E49">
        <w:t xml:space="preserve">ksi halde Teknopark İstanbul A.Ş.’nin her zaman tek taraflı bildirimle </w:t>
      </w:r>
      <w:r w:rsidR="00D361D8" w:rsidRPr="005E0E49">
        <w:t>projeyi ve iş birliğini</w:t>
      </w:r>
      <w:r w:rsidRPr="005E0E49">
        <w:t xml:space="preserve"> sonlandırabileceğini kabu</w:t>
      </w:r>
      <w:r w:rsidR="00D361D8" w:rsidRPr="005E0E49">
        <w:t xml:space="preserve">l, </w:t>
      </w:r>
      <w:r w:rsidRPr="005E0E49">
        <w:t xml:space="preserve">beyan ve taahhüt etmektedir. </w:t>
      </w:r>
      <w:r w:rsidR="00D361D8" w:rsidRPr="005E0E49">
        <w:t xml:space="preserve">Başvurucu bu nedenle Teknopark İstanbul A.Ş.’den hiçbir şekilde maddi ve manevi hak ve tazmin talebinde bulunmayacağını kabul, beyan ve taahhüt etmektedir. </w:t>
      </w:r>
    </w:p>
    <w:sectPr w:rsidR="00A332DE" w:rsidRPr="005E0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2671F"/>
    <w:multiLevelType w:val="multilevel"/>
    <w:tmpl w:val="E14A75B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DB"/>
    <w:rsid w:val="00035A36"/>
    <w:rsid w:val="000402DB"/>
    <w:rsid w:val="00051627"/>
    <w:rsid w:val="00167CAD"/>
    <w:rsid w:val="002C19D0"/>
    <w:rsid w:val="002E15B9"/>
    <w:rsid w:val="00390535"/>
    <w:rsid w:val="003F75AC"/>
    <w:rsid w:val="00402FA6"/>
    <w:rsid w:val="0041445E"/>
    <w:rsid w:val="005E0E49"/>
    <w:rsid w:val="006B571B"/>
    <w:rsid w:val="007F069D"/>
    <w:rsid w:val="00A332DE"/>
    <w:rsid w:val="00C21484"/>
    <w:rsid w:val="00C30BDF"/>
    <w:rsid w:val="00CA2CE9"/>
    <w:rsid w:val="00CE69F7"/>
    <w:rsid w:val="00D361D8"/>
    <w:rsid w:val="00E974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AC0E"/>
  <w15:chartTrackingRefBased/>
  <w15:docId w15:val="{D5418252-9A93-4F77-A917-7313A117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402DB"/>
    <w:rPr>
      <w:sz w:val="16"/>
      <w:szCs w:val="16"/>
    </w:rPr>
  </w:style>
  <w:style w:type="paragraph" w:styleId="AklamaMetni">
    <w:name w:val="annotation text"/>
    <w:basedOn w:val="Normal"/>
    <w:link w:val="AklamaMetniChar"/>
    <w:uiPriority w:val="99"/>
    <w:semiHidden/>
    <w:unhideWhenUsed/>
    <w:rsid w:val="000402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402DB"/>
    <w:rPr>
      <w:sz w:val="20"/>
      <w:szCs w:val="20"/>
    </w:rPr>
  </w:style>
  <w:style w:type="paragraph" w:styleId="AklamaKonusu">
    <w:name w:val="annotation subject"/>
    <w:basedOn w:val="AklamaMetni"/>
    <w:next w:val="AklamaMetni"/>
    <w:link w:val="AklamaKonusuChar"/>
    <w:uiPriority w:val="99"/>
    <w:semiHidden/>
    <w:unhideWhenUsed/>
    <w:rsid w:val="000402DB"/>
    <w:rPr>
      <w:b/>
      <w:bCs/>
    </w:rPr>
  </w:style>
  <w:style w:type="character" w:customStyle="1" w:styleId="AklamaKonusuChar">
    <w:name w:val="Açıklama Konusu Char"/>
    <w:basedOn w:val="AklamaMetniChar"/>
    <w:link w:val="AklamaKonusu"/>
    <w:uiPriority w:val="99"/>
    <w:semiHidden/>
    <w:rsid w:val="000402DB"/>
    <w:rPr>
      <w:b/>
      <w:bCs/>
      <w:sz w:val="20"/>
      <w:szCs w:val="20"/>
    </w:rPr>
  </w:style>
  <w:style w:type="paragraph" w:styleId="BalonMetni">
    <w:name w:val="Balloon Text"/>
    <w:basedOn w:val="Normal"/>
    <w:link w:val="BalonMetniChar"/>
    <w:uiPriority w:val="99"/>
    <w:semiHidden/>
    <w:unhideWhenUsed/>
    <w:rsid w:val="000402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02DB"/>
    <w:rPr>
      <w:rFonts w:ascii="Segoe UI" w:hAnsi="Segoe UI" w:cs="Segoe UI"/>
      <w:sz w:val="18"/>
      <w:szCs w:val="18"/>
    </w:rPr>
  </w:style>
  <w:style w:type="paragraph" w:styleId="ListeParagraf">
    <w:name w:val="List Paragraph"/>
    <w:basedOn w:val="Normal"/>
    <w:uiPriority w:val="34"/>
    <w:qFormat/>
    <w:rsid w:val="00E974B5"/>
    <w:pPr>
      <w:ind w:left="720"/>
      <w:contextualSpacing/>
    </w:pPr>
  </w:style>
  <w:style w:type="paragraph" w:styleId="NormalWeb">
    <w:name w:val="Normal (Web)"/>
    <w:basedOn w:val="Normal"/>
    <w:uiPriority w:val="99"/>
    <w:semiHidden/>
    <w:unhideWhenUsed/>
    <w:rsid w:val="0041445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AB209-CAFC-4B2B-9EC9-A9F6AC63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6277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Sefa Bir</dc:creator>
  <cp:keywords/>
  <dc:description/>
  <cp:lastModifiedBy>Dilara Karasu</cp:lastModifiedBy>
  <cp:revision>2</cp:revision>
  <dcterms:created xsi:type="dcterms:W3CDTF">2021-05-03T15:57:00Z</dcterms:created>
  <dcterms:modified xsi:type="dcterms:W3CDTF">2021-05-03T15:57:00Z</dcterms:modified>
</cp:coreProperties>
</file>